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4C" w:rsidRDefault="001F054C" w:rsidP="001F054C">
      <w:pPr>
        <w:jc w:val="center"/>
        <w:rPr>
          <w:b/>
          <w:color w:val="31849B" w:themeColor="accent5" w:themeShade="BF"/>
          <w:sz w:val="28"/>
          <w:szCs w:val="28"/>
        </w:rPr>
      </w:pPr>
      <w:r w:rsidRPr="00E151CA">
        <w:rPr>
          <w:b/>
          <w:color w:val="31849B" w:themeColor="accent5" w:themeShade="BF"/>
          <w:sz w:val="28"/>
          <w:szCs w:val="28"/>
          <w:lang w:val="en-US"/>
        </w:rPr>
        <w:t>COMENIUS</w:t>
      </w:r>
      <w:r w:rsidRPr="00E1311B">
        <w:rPr>
          <w:b/>
          <w:color w:val="31849B" w:themeColor="accent5" w:themeShade="BF"/>
          <w:sz w:val="28"/>
          <w:szCs w:val="28"/>
        </w:rPr>
        <w:t xml:space="preserve"> </w:t>
      </w:r>
      <w:r w:rsidRPr="00E151CA">
        <w:rPr>
          <w:b/>
          <w:color w:val="31849B" w:themeColor="accent5" w:themeShade="BF"/>
          <w:sz w:val="28"/>
          <w:szCs w:val="28"/>
          <w:lang w:val="en-US"/>
        </w:rPr>
        <w:t>SCHOOL</w:t>
      </w:r>
      <w:r w:rsidRPr="00E1311B">
        <w:rPr>
          <w:b/>
          <w:color w:val="31849B" w:themeColor="accent5" w:themeShade="BF"/>
          <w:sz w:val="28"/>
          <w:szCs w:val="28"/>
        </w:rPr>
        <w:t xml:space="preserve"> </w:t>
      </w:r>
      <w:r w:rsidRPr="00E151CA">
        <w:rPr>
          <w:b/>
          <w:color w:val="31849B" w:themeColor="accent5" w:themeShade="BF"/>
          <w:sz w:val="28"/>
          <w:szCs w:val="28"/>
          <w:lang w:val="en-US"/>
        </w:rPr>
        <w:t>PARTNERSHIPS</w:t>
      </w:r>
    </w:p>
    <w:p w:rsidR="001F054C" w:rsidRPr="004A3A4C" w:rsidRDefault="001F054C" w:rsidP="001F054C">
      <w:pPr>
        <w:jc w:val="center"/>
        <w:rPr>
          <w:b/>
          <w:color w:val="31849B" w:themeColor="accent5" w:themeShade="BF"/>
          <w:sz w:val="28"/>
          <w:szCs w:val="28"/>
        </w:rPr>
      </w:pPr>
      <w:r>
        <w:rPr>
          <w:b/>
          <w:color w:val="31849B" w:themeColor="accent5" w:themeShade="BF"/>
          <w:sz w:val="28"/>
          <w:szCs w:val="28"/>
        </w:rPr>
        <w:t>Συχνές ερωτήσεις για</w:t>
      </w:r>
      <w:r w:rsidRPr="004A3A4C">
        <w:rPr>
          <w:b/>
          <w:color w:val="31849B" w:themeColor="accent5" w:themeShade="BF"/>
          <w:sz w:val="28"/>
          <w:szCs w:val="28"/>
        </w:rPr>
        <w:t xml:space="preserve"> </w:t>
      </w:r>
      <w:r>
        <w:rPr>
          <w:b/>
          <w:color w:val="31849B" w:themeColor="accent5" w:themeShade="BF"/>
          <w:sz w:val="28"/>
          <w:szCs w:val="28"/>
        </w:rPr>
        <w:t>δικαιούχους των ετών 2012-2013</w:t>
      </w:r>
    </w:p>
    <w:p w:rsidR="001F054C" w:rsidRDefault="001F054C" w:rsidP="001F054C">
      <w:pPr>
        <w:pStyle w:val="a3"/>
        <w:jc w:val="both"/>
      </w:pPr>
    </w:p>
    <w:p w:rsidR="001F054C" w:rsidRPr="00AF124C" w:rsidRDefault="001F054C" w:rsidP="001F054C">
      <w:pPr>
        <w:pStyle w:val="a3"/>
        <w:numPr>
          <w:ilvl w:val="0"/>
          <w:numId w:val="1"/>
        </w:numPr>
        <w:jc w:val="both"/>
      </w:pPr>
      <w:r w:rsidRPr="00AF124C">
        <w:t>Εάν κάνω περισσότερες κινητικότητες θα πάρω περισσότερα χρήματα από όσα προβλέπονται στη σύμβαση;</w:t>
      </w:r>
    </w:p>
    <w:p w:rsidR="001F054C" w:rsidRPr="00AF124C" w:rsidRDefault="001F054C" w:rsidP="001F054C">
      <w:pPr>
        <w:spacing w:line="240" w:lineRule="auto"/>
        <w:jc w:val="both"/>
      </w:pPr>
      <w:r w:rsidRPr="00AF124C">
        <w:t xml:space="preserve">              Όχι, η χρηματοδότηση θα μείνει ίδια ακόμα κι αν πραγματοποιηθούν περισσότερες  κινητικότητες από αυτές που προβλέπονται στην σύμβαση.      </w:t>
      </w:r>
    </w:p>
    <w:p w:rsidR="001F054C" w:rsidRPr="00AF124C" w:rsidRDefault="001F054C" w:rsidP="001F054C">
      <w:pPr>
        <w:spacing w:line="240" w:lineRule="auto"/>
        <w:jc w:val="both"/>
      </w:pPr>
      <w:r w:rsidRPr="00AF124C">
        <w:t xml:space="preserve">             </w:t>
      </w:r>
    </w:p>
    <w:p w:rsidR="001F054C" w:rsidRPr="00AF124C" w:rsidRDefault="001F054C" w:rsidP="001F054C">
      <w:pPr>
        <w:pStyle w:val="a3"/>
        <w:numPr>
          <w:ilvl w:val="0"/>
          <w:numId w:val="1"/>
        </w:numPr>
        <w:jc w:val="both"/>
      </w:pPr>
      <w:r w:rsidRPr="00AF124C">
        <w:t>Εκτός από τις κινητικότητες, ποιες άλλες δαπάνες καλύπτει η επιχορήγηση;</w:t>
      </w:r>
    </w:p>
    <w:p w:rsidR="001F054C" w:rsidRPr="00AF124C" w:rsidRDefault="001F054C" w:rsidP="001F054C">
      <w:pPr>
        <w:pStyle w:val="a3"/>
        <w:jc w:val="both"/>
      </w:pPr>
    </w:p>
    <w:p w:rsidR="001F054C" w:rsidRPr="00AF124C" w:rsidRDefault="001F054C" w:rsidP="001F054C">
      <w:pPr>
        <w:pStyle w:val="a3"/>
        <w:jc w:val="both"/>
      </w:pPr>
      <w:r w:rsidRPr="00AF124C">
        <w:t>Η επιχορήγηση καταβάλλεται ως ενιαίο ποσό και καλύπτει όλες τις δαπάνες που θα απαιτηθούν για την υλοποίηση του σχεδίου όπως αυτό αποτυπώνεται στην αίτηση (π.χ. δημιουργία τελικών προϊόντων, φιλοξενία εταίρων κλπ).</w:t>
      </w:r>
    </w:p>
    <w:p w:rsidR="001F054C" w:rsidRPr="00AF124C" w:rsidRDefault="001F054C" w:rsidP="001F054C">
      <w:pPr>
        <w:pStyle w:val="a3"/>
        <w:jc w:val="both"/>
      </w:pPr>
    </w:p>
    <w:p w:rsidR="001F054C" w:rsidRPr="00AF124C" w:rsidRDefault="001F054C" w:rsidP="001F054C">
      <w:pPr>
        <w:pStyle w:val="a3"/>
        <w:jc w:val="both"/>
      </w:pPr>
    </w:p>
    <w:p w:rsidR="001F054C" w:rsidRPr="00AF124C" w:rsidRDefault="001F054C" w:rsidP="001F054C">
      <w:pPr>
        <w:pStyle w:val="a3"/>
        <w:numPr>
          <w:ilvl w:val="0"/>
          <w:numId w:val="1"/>
        </w:numPr>
        <w:jc w:val="both"/>
      </w:pPr>
      <w:r w:rsidRPr="00AF124C">
        <w:t xml:space="preserve">Είναι υποχρεωτικό να συμμετέχει πάντα το </w:t>
      </w:r>
      <w:r w:rsidRPr="00AF124C">
        <w:rPr>
          <w:lang w:val="en-US"/>
        </w:rPr>
        <w:t>contact</w:t>
      </w:r>
      <w:r w:rsidRPr="00AF124C">
        <w:t xml:space="preserve"> </w:t>
      </w:r>
      <w:r w:rsidRPr="00AF124C">
        <w:rPr>
          <w:lang w:val="en-US"/>
        </w:rPr>
        <w:t>person</w:t>
      </w:r>
      <w:r w:rsidRPr="00AF124C">
        <w:t xml:space="preserve"> στις συναντήσεις των εταίρων;</w:t>
      </w:r>
    </w:p>
    <w:p w:rsidR="001F054C" w:rsidRPr="00AF124C" w:rsidRDefault="001F054C" w:rsidP="001F054C">
      <w:pPr>
        <w:jc w:val="both"/>
      </w:pPr>
      <w:r w:rsidRPr="00AF124C">
        <w:t xml:space="preserve">               Ως “</w:t>
      </w:r>
      <w:r w:rsidRPr="00AF124C">
        <w:rPr>
          <w:lang w:val="en-US"/>
        </w:rPr>
        <w:t>contact</w:t>
      </w:r>
      <w:r w:rsidRPr="00AF124C">
        <w:t xml:space="preserve"> </w:t>
      </w:r>
      <w:r w:rsidRPr="00AF124C">
        <w:rPr>
          <w:lang w:val="en-US"/>
        </w:rPr>
        <w:t>person</w:t>
      </w:r>
      <w:r w:rsidRPr="00AF124C">
        <w:t>” ορίζεται ο εκπαιδευτικός του σχολείου – δικαιούχου που είναι                  υπεύθυνος για την υλοποίηση της σύμπραξης και την επικοινωνία με την ΕΜ. Συνεπώς, το πρόσωπο αυτό θα πρέπει να είναι πλήρως ενημερωμένο για την εξέλιξη της υλοποίησης των δραστηριοτήτων. Αυτό, συνήθως, έχει ως αποτέλεσμα να είναι αναγκαία η παρουσία του σε όλες τις συναντήσεις των εταίρων, χωρίς ωστόσο αυτό να είναι υποχρεωτικό βάσει σύμβασης.</w:t>
      </w:r>
    </w:p>
    <w:p w:rsidR="001F054C" w:rsidRPr="00AF124C" w:rsidRDefault="001F054C" w:rsidP="001F054C">
      <w:pPr>
        <w:pStyle w:val="a3"/>
        <w:numPr>
          <w:ilvl w:val="0"/>
          <w:numId w:val="1"/>
        </w:numPr>
        <w:jc w:val="both"/>
      </w:pPr>
      <w:r w:rsidRPr="00AF124C">
        <w:t>Πώς καταβάλλεται η χρηματοδότηση</w:t>
      </w:r>
      <w:r w:rsidRPr="00AF124C">
        <w:rPr>
          <w:lang w:val="en-US"/>
        </w:rPr>
        <w:t>;</w:t>
      </w:r>
    </w:p>
    <w:p w:rsidR="001F054C" w:rsidRPr="00AF124C" w:rsidRDefault="001F054C" w:rsidP="001F054C">
      <w:pPr>
        <w:pStyle w:val="a3"/>
        <w:jc w:val="both"/>
      </w:pPr>
    </w:p>
    <w:p w:rsidR="001F054C" w:rsidRPr="00AF124C" w:rsidRDefault="001F054C" w:rsidP="001F054C">
      <w:pPr>
        <w:pStyle w:val="a3"/>
        <w:jc w:val="both"/>
      </w:pPr>
      <w:r w:rsidRPr="00AF124C">
        <w:t>Με την υπογραφή της σύμβασης κι από τα δύο μέρη, γίνεται η κατάθεση της προκαταβολής, που αντιστοιχεί στο 80% της συνολικής επιχορήγησης. Το υπόλοιπο 20% του ποσού κατατίθεται μετά το πέρας των δύο ετών υλοποίησης, αφού ο δικαιούχος υποβάλλει την τελική έκθεση και  πραγματοποιηθεί η ποιοτική αξιολόγηση αυτής καθώς και ο οικονομικός απολογισμός από την ΕΜ.</w:t>
      </w:r>
    </w:p>
    <w:p w:rsidR="001F054C" w:rsidRPr="00AF124C" w:rsidRDefault="001F054C" w:rsidP="001F054C">
      <w:pPr>
        <w:pStyle w:val="a3"/>
        <w:jc w:val="both"/>
      </w:pPr>
    </w:p>
    <w:p w:rsidR="001F054C" w:rsidRPr="00AF124C" w:rsidRDefault="001F054C" w:rsidP="001F054C">
      <w:pPr>
        <w:pStyle w:val="a3"/>
        <w:numPr>
          <w:ilvl w:val="0"/>
          <w:numId w:val="1"/>
        </w:numPr>
        <w:jc w:val="both"/>
      </w:pPr>
      <w:r w:rsidRPr="00AF124C">
        <w:t>Υπάρχει πρόβλημα εάν δεν καταφέρει το σχολείο μου να συμμετάσχει σε κάποια / κάποιες από τις συναντήσεις των εταίρων στο εξωτερικό ;</w:t>
      </w:r>
    </w:p>
    <w:p w:rsidR="001F054C" w:rsidRPr="00AF124C" w:rsidRDefault="001F054C" w:rsidP="001F054C">
      <w:pPr>
        <w:jc w:val="both"/>
        <w:rPr>
          <w:color w:val="FF0000"/>
        </w:rPr>
      </w:pPr>
      <w:r w:rsidRPr="00AF124C">
        <w:t xml:space="preserve">Το σχολείο θα πρέπει να συμμετέχει σε όλες τις δραστηριότητες, και συναντήσεις, όπως αυτές δηλώνονται στο εγκεκριμένο πρόγραμμα. Παρ’ όλα αυτά, επειδή στο διάστημα των δύο ετών ενδέχεται να υπάρξουν απρόβλεπτες αλλαγές,  σε περίπτωση μη συμμετοχής σε κάποια συνάντηση, το σχολείο θα πρέπει να ενημερωθεί πλήρως για τα τεκταινόμενα σε αυτήν ώστε να τηρήσει τις υποχρεώσεις του. Συχνά σε αυτές τις περιπτώσεις χρησιμοποιείται και η </w:t>
      </w:r>
      <w:proofErr w:type="spellStart"/>
      <w:r w:rsidRPr="00AF124C">
        <w:t>βιντεοκλήση</w:t>
      </w:r>
      <w:proofErr w:type="spellEnd"/>
      <w:r w:rsidRPr="00AF124C">
        <w:t xml:space="preserve">. Σε κάθε περίπτωση, θα πρέπει στις αναφορές για την </w:t>
      </w:r>
      <w:r w:rsidRPr="00AF124C">
        <w:lastRenderedPageBreak/>
        <w:t>πρόοδο της σύμπραξης  που θα  υποβάλλει το σχολείο στην Εθνική Μονάδα (ενδιάμεση και τελική) να αιτιολογούνται επαρκώς αυτές οι αλλαγές.</w:t>
      </w:r>
    </w:p>
    <w:p w:rsidR="001F054C" w:rsidRPr="00AF124C" w:rsidRDefault="001F054C" w:rsidP="001F054C">
      <w:pPr>
        <w:pStyle w:val="a3"/>
        <w:numPr>
          <w:ilvl w:val="0"/>
          <w:numId w:val="1"/>
        </w:numPr>
        <w:jc w:val="both"/>
      </w:pPr>
      <w:r w:rsidRPr="00AF124C">
        <w:t>Τι θα συμβεί εάν δεν πραγματοποιήσουμε όλες τις κινητικότητες που προβλέπονται στη σύμβασή μας;</w:t>
      </w:r>
    </w:p>
    <w:p w:rsidR="001F054C" w:rsidRPr="00AF124C" w:rsidRDefault="001F054C" w:rsidP="001F054C">
      <w:pPr>
        <w:jc w:val="both"/>
      </w:pPr>
      <w:r w:rsidRPr="00AF124C">
        <w:t xml:space="preserve">Σε αυτήν την περίπτωση, θα μειωθεί αναλογικά το τελικό ποσό της επιχορήγησης σύμφωνα με τους κανόνες που παρατίθενται στο παράρτημα ΙΙΙ της σύμβασης. </w:t>
      </w:r>
    </w:p>
    <w:p w:rsidR="001F054C" w:rsidRPr="00AF124C" w:rsidRDefault="001F054C" w:rsidP="001F054C">
      <w:pPr>
        <w:pStyle w:val="a3"/>
        <w:jc w:val="both"/>
      </w:pPr>
    </w:p>
    <w:p w:rsidR="001F054C" w:rsidRPr="00AF124C" w:rsidRDefault="001F054C" w:rsidP="001F054C">
      <w:pPr>
        <w:pStyle w:val="a3"/>
        <w:numPr>
          <w:ilvl w:val="0"/>
          <w:numId w:val="1"/>
        </w:numPr>
        <w:jc w:val="both"/>
      </w:pPr>
      <w:r w:rsidRPr="00AF124C">
        <w:t>Ποια παραστατικά πρέπει να διατηρώ στο φάκελο της σύμπραξης;</w:t>
      </w:r>
    </w:p>
    <w:p w:rsidR="001F054C" w:rsidRPr="00AF124C" w:rsidRDefault="001F054C" w:rsidP="001F054C">
      <w:pPr>
        <w:pStyle w:val="a3"/>
        <w:jc w:val="both"/>
      </w:pPr>
    </w:p>
    <w:p w:rsidR="001F054C" w:rsidRPr="00AF124C" w:rsidRDefault="001F054C" w:rsidP="001F054C">
      <w:pPr>
        <w:pStyle w:val="a3"/>
        <w:jc w:val="both"/>
      </w:pPr>
      <w:r w:rsidRPr="00AF124C">
        <w:t xml:space="preserve">Στον φάκελο </w:t>
      </w:r>
      <w:r w:rsidRPr="00AF124C">
        <w:rPr>
          <w:lang w:val="en-US"/>
        </w:rPr>
        <w:t>Comenius</w:t>
      </w:r>
      <w:r w:rsidRPr="00AF124C">
        <w:t xml:space="preserve"> που  διατηρείται στο σχολείο, θα πρέπει να φυλάσσονται οι βεβαιώσεις συμμετοχής που δίδονται από τα εταιρικά σχολεία στις συναντήσεις, τα εισιτήρια και οι κάρτες επιβίβασης των συμμετεχόντων. Βεβαίως, συστήνεται η διατήρηση όλων των παραστατικών που αφορούν σε δαπάνες της υλοποίησης (π.χ. ξενοδοχεία, τιμολόγια κλπ).</w:t>
      </w:r>
    </w:p>
    <w:p w:rsidR="001F054C" w:rsidRPr="00AF124C" w:rsidRDefault="001F054C" w:rsidP="001F054C">
      <w:pPr>
        <w:pStyle w:val="a3"/>
        <w:jc w:val="both"/>
      </w:pPr>
    </w:p>
    <w:p w:rsidR="001F054C" w:rsidRPr="00AF124C" w:rsidRDefault="001F054C" w:rsidP="001F054C">
      <w:pPr>
        <w:pStyle w:val="a3"/>
        <w:numPr>
          <w:ilvl w:val="0"/>
          <w:numId w:val="1"/>
        </w:numPr>
        <w:jc w:val="both"/>
      </w:pPr>
      <w:r w:rsidRPr="00AF124C">
        <w:t>Ποιοι μπορούν να συμμετάσχουν σε κινητικότητες;</w:t>
      </w:r>
    </w:p>
    <w:p w:rsidR="001F054C" w:rsidRPr="00AF124C" w:rsidRDefault="001F054C" w:rsidP="001F054C">
      <w:pPr>
        <w:pStyle w:val="a3"/>
        <w:jc w:val="both"/>
      </w:pPr>
    </w:p>
    <w:p w:rsidR="001F054C" w:rsidRPr="00AF124C" w:rsidRDefault="001F054C" w:rsidP="001F054C">
      <w:pPr>
        <w:pStyle w:val="a3"/>
        <w:jc w:val="both"/>
      </w:pPr>
      <w:r w:rsidRPr="00AF124C">
        <w:t xml:space="preserve">Στις κινητικότητες μπορούν να συμμετέχουν οι εκπαιδευτικοί που έχουν ορισθεί με πρακτικό ως μέλη της παιδαγωγικής ομάδας </w:t>
      </w:r>
      <w:r w:rsidRPr="00AF124C">
        <w:rPr>
          <w:lang w:val="en-US"/>
        </w:rPr>
        <w:t>Comenius</w:t>
      </w:r>
      <w:r w:rsidRPr="00AF124C">
        <w:t xml:space="preserve"> καθώς και  οι μαθητές του σχολείου.</w:t>
      </w:r>
    </w:p>
    <w:p w:rsidR="001F054C" w:rsidRPr="00AF124C" w:rsidRDefault="001F054C" w:rsidP="001F054C">
      <w:pPr>
        <w:pStyle w:val="a3"/>
        <w:jc w:val="both"/>
      </w:pPr>
    </w:p>
    <w:p w:rsidR="001F054C" w:rsidRPr="00AF124C" w:rsidRDefault="001F054C" w:rsidP="001F054C">
      <w:pPr>
        <w:pStyle w:val="a3"/>
        <w:numPr>
          <w:ilvl w:val="0"/>
          <w:numId w:val="1"/>
        </w:numPr>
        <w:jc w:val="both"/>
      </w:pPr>
      <w:r w:rsidRPr="00AF124C">
        <w:t>Ποιο είναι το χρονικό διάστημα υλοποίησης επιλέξιμων δαπανών;</w:t>
      </w:r>
    </w:p>
    <w:p w:rsidR="001F054C" w:rsidRPr="00AF124C" w:rsidRDefault="001F054C" w:rsidP="001F054C">
      <w:pPr>
        <w:pStyle w:val="a3"/>
        <w:jc w:val="both"/>
      </w:pPr>
    </w:p>
    <w:p w:rsidR="001F054C" w:rsidRPr="00AF124C" w:rsidRDefault="001F054C" w:rsidP="001F054C">
      <w:pPr>
        <w:pStyle w:val="a3"/>
        <w:jc w:val="both"/>
      </w:pPr>
      <w:r w:rsidRPr="00AF124C">
        <w:t>Η διάρκεια των συμπράξεων είναι 2 έτη. Προκειμένου να είναι επιλέξιμες οι δαπάνες για την εγκεκριμένη σύμπραξη πρέπει να πραγματοποιηθούν στο διάστημα από την 1</w:t>
      </w:r>
      <w:r w:rsidRPr="00AF124C">
        <w:rPr>
          <w:vertAlign w:val="superscript"/>
        </w:rPr>
        <w:t>η</w:t>
      </w:r>
      <w:r w:rsidRPr="00AF124C">
        <w:t xml:space="preserve"> Αυγούστου του έτους που εγκρίνεται η σύμπραξη (ν) έως και την 31</w:t>
      </w:r>
      <w:r w:rsidRPr="00AF124C">
        <w:rPr>
          <w:vertAlign w:val="superscript"/>
        </w:rPr>
        <w:t>η</w:t>
      </w:r>
      <w:r w:rsidRPr="00AF124C">
        <w:t xml:space="preserve"> Ιουλίου του μεθεπόμενου έτους (</w:t>
      </w:r>
      <w:proofErr w:type="spellStart"/>
      <w:r w:rsidRPr="00AF124C">
        <w:t>ν+2</w:t>
      </w:r>
      <w:proofErr w:type="spellEnd"/>
      <w:r w:rsidRPr="00AF124C">
        <w:t>).</w:t>
      </w:r>
    </w:p>
    <w:p w:rsidR="001F054C" w:rsidRPr="00AF124C" w:rsidRDefault="001F054C" w:rsidP="001F054C">
      <w:pPr>
        <w:pStyle w:val="a3"/>
        <w:jc w:val="both"/>
      </w:pPr>
    </w:p>
    <w:p w:rsidR="001F054C" w:rsidRPr="00AF124C" w:rsidRDefault="001F054C" w:rsidP="001F054C">
      <w:pPr>
        <w:pStyle w:val="a3"/>
        <w:numPr>
          <w:ilvl w:val="0"/>
          <w:numId w:val="1"/>
        </w:numPr>
        <w:jc w:val="both"/>
      </w:pPr>
      <w:r w:rsidRPr="00AF124C">
        <w:t>Τι σημαίνει ο όρος «κινητικότητα»;</w:t>
      </w:r>
    </w:p>
    <w:p w:rsidR="001F054C" w:rsidRPr="00AF124C" w:rsidRDefault="001F054C" w:rsidP="001F054C">
      <w:pPr>
        <w:jc w:val="both"/>
      </w:pPr>
      <w:r w:rsidRPr="00AF124C">
        <w:t xml:space="preserve">Κινητικότητα ορίζεται ως η μετάβαση (με επιστροφή) ενός εκπαιδευτικού ή μαθητή του σχολείου δικαιούχου σε χώρα εταίρο προκειμένου να συμμετάσχει σε δραστηριότητες που αφορούν στη σύμπραξη. Κάθε συμμετέχων μπορεί να πραγματοποιήσει περισσότερες από μία κινητικότητες στο πλαίσιο της υλοποίησης της σύμπραξης. </w:t>
      </w:r>
    </w:p>
    <w:p w:rsidR="001F054C" w:rsidRPr="00AF124C" w:rsidRDefault="001F054C" w:rsidP="001F054C">
      <w:pPr>
        <w:jc w:val="both"/>
      </w:pPr>
    </w:p>
    <w:p w:rsidR="001F054C" w:rsidRPr="00AF124C" w:rsidRDefault="001F054C" w:rsidP="001F054C">
      <w:pPr>
        <w:pStyle w:val="a3"/>
        <w:numPr>
          <w:ilvl w:val="0"/>
          <w:numId w:val="1"/>
        </w:numPr>
        <w:jc w:val="both"/>
      </w:pPr>
      <w:r w:rsidRPr="00AF124C">
        <w:t>Τι πρέπει να γνωρίζω για να υλοποιήσω σωστά τη σύμπραξη που εγκρίθηκε στο σχολείο μου;</w:t>
      </w:r>
    </w:p>
    <w:p w:rsidR="001F054C" w:rsidRPr="00AF124C" w:rsidRDefault="001F054C" w:rsidP="001F054C">
      <w:pPr>
        <w:pStyle w:val="a3"/>
        <w:numPr>
          <w:ilvl w:val="0"/>
          <w:numId w:val="2"/>
        </w:numPr>
        <w:jc w:val="both"/>
      </w:pPr>
      <w:r w:rsidRPr="00AF124C">
        <w:t>Διαβάζω την αίτηση που έχουν συμπληρώσει από κοινού όλοι οι εταίροι και αντιλαμβάνομαι σωστά τη θεματική και τους στόχους της.</w:t>
      </w:r>
    </w:p>
    <w:p w:rsidR="001F054C" w:rsidRPr="00AF124C" w:rsidRDefault="001F054C" w:rsidP="001F054C">
      <w:pPr>
        <w:pStyle w:val="a3"/>
        <w:numPr>
          <w:ilvl w:val="0"/>
          <w:numId w:val="2"/>
        </w:numPr>
        <w:jc w:val="both"/>
      </w:pPr>
      <w:r w:rsidRPr="00AF124C">
        <w:t xml:space="preserve"> Αναλαμβάνω την υλοποίηση των δραστηριοτήτων που έχουν προβλεφθεί για το σχολείο μου και φροντίζω να είμαι συνεπής με τα χρονοδιαγράμματα που θέτει η εταιρική σχέση.</w:t>
      </w:r>
    </w:p>
    <w:p w:rsidR="001F054C" w:rsidRPr="00AF124C" w:rsidRDefault="001F054C" w:rsidP="001F054C">
      <w:pPr>
        <w:pStyle w:val="a3"/>
        <w:numPr>
          <w:ilvl w:val="0"/>
          <w:numId w:val="2"/>
        </w:numPr>
        <w:jc w:val="both"/>
      </w:pPr>
      <w:r w:rsidRPr="00AF124C">
        <w:lastRenderedPageBreak/>
        <w:t xml:space="preserve"> Μεριμνώ ώστε τα προϊόντα που δημιουργεί το σχολείο μου να είναι αυτά που έχουν προβλεφθεί στην εγκεκριμένη αίτηση χωρίς να παραβλέπω την ποιότητά τους. </w:t>
      </w:r>
    </w:p>
    <w:p w:rsidR="001F054C" w:rsidRPr="00AF124C" w:rsidRDefault="001F054C" w:rsidP="001F054C">
      <w:pPr>
        <w:pStyle w:val="a3"/>
        <w:numPr>
          <w:ilvl w:val="0"/>
          <w:numId w:val="2"/>
        </w:numPr>
        <w:jc w:val="both"/>
      </w:pPr>
      <w:r w:rsidRPr="00AF124C">
        <w:t xml:space="preserve">Ζητώ την γνώμη των εταίρων για τα προϊόντα που δημιουργεί το σχολείο μου ενώ ταυτόχρονα συμμετέχω στην αξιολόγηση των προϊόντων των άλλων εταίρων. </w:t>
      </w:r>
    </w:p>
    <w:p w:rsidR="001F054C" w:rsidRPr="00AF124C" w:rsidRDefault="001F054C" w:rsidP="001F054C">
      <w:pPr>
        <w:pStyle w:val="a3"/>
        <w:numPr>
          <w:ilvl w:val="0"/>
          <w:numId w:val="2"/>
        </w:numPr>
        <w:jc w:val="both"/>
      </w:pPr>
      <w:r w:rsidRPr="00AF124C">
        <w:t>Συμβουλεύομαι την ΕΜ για τυχόν απορίες ή προβλήματα.</w:t>
      </w:r>
    </w:p>
    <w:p w:rsidR="001F054C" w:rsidRPr="00AF124C" w:rsidRDefault="001F054C" w:rsidP="001F054C">
      <w:pPr>
        <w:jc w:val="both"/>
      </w:pPr>
    </w:p>
    <w:p w:rsidR="001F054C" w:rsidRPr="00AF124C" w:rsidRDefault="001F054C" w:rsidP="001F054C">
      <w:pPr>
        <w:pStyle w:val="a3"/>
        <w:numPr>
          <w:ilvl w:val="0"/>
          <w:numId w:val="1"/>
        </w:numPr>
        <w:jc w:val="both"/>
      </w:pPr>
      <w:r w:rsidRPr="00AF124C">
        <w:t>Τι πρέπει να κάνω στην περίπτωση που οι εκπαιδευτικοί του σχολείου μου (δεν) εκδηλώνουν ιδιαίτερο ενδιαφέρον / επιφυλάξεις για να αναλάβουν την υλοποίηση σύμπραξης;</w:t>
      </w:r>
    </w:p>
    <w:p w:rsidR="001F054C" w:rsidRPr="00AF124C" w:rsidRDefault="001F054C" w:rsidP="001F054C">
      <w:pPr>
        <w:pStyle w:val="a3"/>
        <w:jc w:val="both"/>
      </w:pPr>
    </w:p>
    <w:p w:rsidR="001F054C" w:rsidRPr="00AF124C" w:rsidRDefault="001F054C" w:rsidP="001F054C">
      <w:pPr>
        <w:pStyle w:val="a3"/>
        <w:jc w:val="both"/>
      </w:pPr>
      <w:r w:rsidRPr="00AF124C">
        <w:t>Πριν το σχολείο αναλάβει την υποχρέωση της υλοποίησης μίας σχολικής σύμπραξης, θα πρέπει να έχουν ενημερωθεί όλοι οι εκπαιδευτικοί και να έχει συγκεντρωθεί ικανός αριθμός αυτών ώστε να διασφαλισθεί μια επιτυχημένη υλοποίηση, με βιώσιμα αποτελέσματα για το σύνολο της σχολικής μονάδας.</w:t>
      </w:r>
    </w:p>
    <w:p w:rsidR="001F054C" w:rsidRPr="00AF124C" w:rsidRDefault="001F054C" w:rsidP="001F054C">
      <w:pPr>
        <w:pStyle w:val="a3"/>
        <w:jc w:val="both"/>
      </w:pPr>
    </w:p>
    <w:p w:rsidR="001F054C" w:rsidRPr="00AF124C" w:rsidRDefault="001F054C" w:rsidP="001F054C">
      <w:pPr>
        <w:pStyle w:val="a3"/>
        <w:jc w:val="both"/>
      </w:pPr>
    </w:p>
    <w:p w:rsidR="001F054C" w:rsidRPr="00AF124C" w:rsidRDefault="001F054C" w:rsidP="001F054C">
      <w:pPr>
        <w:pStyle w:val="a3"/>
        <w:numPr>
          <w:ilvl w:val="0"/>
          <w:numId w:val="1"/>
        </w:numPr>
        <w:jc w:val="both"/>
      </w:pPr>
      <w:r w:rsidRPr="00AF124C">
        <w:t>Ποιος θα είναι ο ρόλος των γονέων και της τοπικής κοινωνίας κατά τη διάρκεια της υλοποίησης;</w:t>
      </w:r>
    </w:p>
    <w:p w:rsidR="001F054C" w:rsidRPr="00AF124C" w:rsidRDefault="001F054C" w:rsidP="001F054C">
      <w:pPr>
        <w:jc w:val="both"/>
      </w:pPr>
      <w:r w:rsidRPr="00AF124C">
        <w:t>Οι γονείς και η τοπικοί φορείς θα πρέπει να υποστηρίξουν την υλοποίηση, έτσι ώστε να καταστεί δυνατή η σύζευξη του σχολείου με την τοπική κοινωνία και να πολλαπλασιαστούν τα οφέλη. Συνεπώς, οι γονείς των μαθητών  αλλά  και η τοπική κοινωνία ευρύτερα θα πρέπει να ενημερώνονται για τις δραστηριότητες της σύμπραξης με διάφορους τρόπους, όπως στο πλαίσιο εκδηλώσεων διάδοσης.</w:t>
      </w:r>
    </w:p>
    <w:p w:rsidR="001F054C" w:rsidRPr="00AF124C" w:rsidRDefault="001F054C" w:rsidP="001F054C">
      <w:pPr>
        <w:jc w:val="both"/>
      </w:pPr>
    </w:p>
    <w:p w:rsidR="001F054C" w:rsidRPr="00AF124C" w:rsidRDefault="001F054C" w:rsidP="001F054C">
      <w:pPr>
        <w:pStyle w:val="a3"/>
        <w:numPr>
          <w:ilvl w:val="0"/>
          <w:numId w:val="1"/>
        </w:numPr>
        <w:jc w:val="both"/>
      </w:pPr>
      <w:r w:rsidRPr="00AF124C">
        <w:t>Τι προβλέπεται για τη διαμονή των μαθητών κατά τη διάρκεια των κινητικοτήτων στο εξωτερικό;</w:t>
      </w:r>
    </w:p>
    <w:p w:rsidR="001F054C" w:rsidRPr="00AF124C" w:rsidRDefault="001F054C" w:rsidP="001F054C">
      <w:pPr>
        <w:pStyle w:val="a3"/>
        <w:jc w:val="both"/>
      </w:pPr>
    </w:p>
    <w:p w:rsidR="001F054C" w:rsidRPr="00AF124C" w:rsidRDefault="001F054C" w:rsidP="001F054C">
      <w:pPr>
        <w:pStyle w:val="a3"/>
        <w:jc w:val="both"/>
      </w:pPr>
      <w:r w:rsidRPr="00AF124C">
        <w:t>Οι μαθητές προτείνεται να διαμένουν σε σπίτια συμμαθητών τους (με την προοπτική και οι ίδιοι να τους  φιλοξενήσουν στην Ελλάδα) , ώστε να γίνονται αποδέκτες των πολιτισμικών στοιχείων της καθημερινότητας των εταίρων. Σε περίπτωση που αυτό δεν είναι εφικτό, η κοινοτική επιχορήγηση χρησιμοποιείται για την κάλυψη των δαπανών διαβίωσης σε ξενοδοχείο.</w:t>
      </w:r>
    </w:p>
    <w:p w:rsidR="001F054C" w:rsidRPr="00AF124C" w:rsidRDefault="001F054C" w:rsidP="001F054C">
      <w:pPr>
        <w:pStyle w:val="a3"/>
        <w:jc w:val="both"/>
      </w:pPr>
    </w:p>
    <w:p w:rsidR="001F054C" w:rsidRPr="00AF124C" w:rsidRDefault="001F054C" w:rsidP="001F054C">
      <w:pPr>
        <w:pStyle w:val="a3"/>
        <w:numPr>
          <w:ilvl w:val="0"/>
          <w:numId w:val="1"/>
        </w:numPr>
        <w:jc w:val="both"/>
      </w:pPr>
      <w:r w:rsidRPr="00AF124C">
        <w:t xml:space="preserve">Είμαι υπεύθυνος/η για τη σύμπραξη  </w:t>
      </w:r>
      <w:r w:rsidRPr="00AF124C">
        <w:rPr>
          <w:lang w:val="en-US"/>
        </w:rPr>
        <w:t>Comenius</w:t>
      </w:r>
      <w:r w:rsidRPr="00AF124C">
        <w:t xml:space="preserve"> στο σχολείο που υπηρετώ αλλά τη νέα σχολική χρονιά πρόκειται να μετακινηθώ σε άλλο σχολείο. Μπορώ να συμμετάσχω στις κινητικότητες που έχουν εγκριθεί για το προηγούμενο σχολείο ;</w:t>
      </w:r>
    </w:p>
    <w:p w:rsidR="001F054C" w:rsidRPr="00AF124C" w:rsidRDefault="001F054C" w:rsidP="001F054C">
      <w:pPr>
        <w:pStyle w:val="a3"/>
        <w:ind w:left="360"/>
        <w:jc w:val="both"/>
      </w:pPr>
    </w:p>
    <w:p w:rsidR="001F054C" w:rsidRPr="00A11204" w:rsidRDefault="001F054C" w:rsidP="001F054C">
      <w:pPr>
        <w:pStyle w:val="a3"/>
        <w:ind w:left="360"/>
        <w:jc w:val="both"/>
      </w:pPr>
      <w:r w:rsidRPr="00AF124C">
        <w:t xml:space="preserve">Η σύμπραξη αφορά το σχολείο και όχι μεμονωμένα άτομα. Σε περίπτωση που μετακινηθείτε σε άλλο σχολείο, ο σύλλογος διδασκόντων του σχολείου που έχει </w:t>
      </w:r>
      <w:r w:rsidRPr="00AF124C">
        <w:lastRenderedPageBreak/>
        <w:t>εγκεκριμένη σύμπραξη πρέπει να συνέλθει  προκειμένου να ορίσει νέο υπεύθυνο για το πρόγραμμα.</w:t>
      </w:r>
    </w:p>
    <w:p w:rsidR="001F054C" w:rsidRDefault="001F054C" w:rsidP="001F054C">
      <w:pPr>
        <w:jc w:val="both"/>
      </w:pPr>
    </w:p>
    <w:p w:rsidR="001F054C" w:rsidRDefault="001F054C" w:rsidP="001F054C">
      <w:pPr>
        <w:pStyle w:val="a3"/>
        <w:jc w:val="both"/>
      </w:pPr>
    </w:p>
    <w:p w:rsidR="001F054C" w:rsidRDefault="001F054C" w:rsidP="001F054C">
      <w:pPr>
        <w:pStyle w:val="a3"/>
        <w:jc w:val="both"/>
      </w:pPr>
    </w:p>
    <w:p w:rsidR="001F054C" w:rsidRDefault="001F054C" w:rsidP="001F054C">
      <w:pPr>
        <w:jc w:val="both"/>
      </w:pPr>
    </w:p>
    <w:p w:rsidR="001F054C" w:rsidRDefault="001F054C" w:rsidP="001F054C">
      <w:pPr>
        <w:jc w:val="both"/>
      </w:pPr>
    </w:p>
    <w:p w:rsidR="001F054C" w:rsidRDefault="001F054C" w:rsidP="001F054C">
      <w:pPr>
        <w:pStyle w:val="a3"/>
        <w:jc w:val="both"/>
      </w:pPr>
    </w:p>
    <w:p w:rsidR="001F054C" w:rsidRPr="00202623" w:rsidRDefault="001F054C" w:rsidP="001F054C">
      <w:pPr>
        <w:pStyle w:val="a3"/>
        <w:ind w:left="1440"/>
        <w:jc w:val="both"/>
      </w:pPr>
    </w:p>
    <w:p w:rsidR="001F054C" w:rsidRPr="00202623" w:rsidRDefault="001F054C" w:rsidP="001F054C"/>
    <w:p w:rsidR="00E03EEE" w:rsidRDefault="00E03EEE"/>
    <w:sectPr w:rsidR="00E03EEE" w:rsidSect="00F15E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0AE7"/>
    <w:multiLevelType w:val="hybridMultilevel"/>
    <w:tmpl w:val="C57229E0"/>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1">
    <w:nsid w:val="4C16232D"/>
    <w:multiLevelType w:val="hybridMultilevel"/>
    <w:tmpl w:val="68BC94D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054C"/>
    <w:rsid w:val="001F054C"/>
    <w:rsid w:val="00E03E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5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5448</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mousouri pinelopi</dc:creator>
  <cp:keywords/>
  <dc:description/>
  <cp:lastModifiedBy>mousouri pinelopi</cp:lastModifiedBy>
  <cp:revision>1</cp:revision>
  <dcterms:created xsi:type="dcterms:W3CDTF">2013-09-12T11:00:00Z</dcterms:created>
  <dcterms:modified xsi:type="dcterms:W3CDTF">2013-09-12T11:00:00Z</dcterms:modified>
</cp:coreProperties>
</file>